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1A56B5">
        <w:rPr>
          <w:rFonts w:eastAsia="Times New Roman"/>
          <w:sz w:val="28"/>
          <w:szCs w:val="28"/>
        </w:rPr>
        <w:t>6</w:t>
      </w:r>
      <w:r w:rsidR="00DF3EE4">
        <w:rPr>
          <w:rFonts w:eastAsia="Times New Roman"/>
          <w:sz w:val="28"/>
          <w:szCs w:val="28"/>
        </w:rPr>
        <w:t>7</w:t>
      </w:r>
      <w:r w:rsidR="008F53D7">
        <w:rPr>
          <w:rFonts w:eastAsia="Times New Roman"/>
          <w:sz w:val="28"/>
          <w:szCs w:val="28"/>
        </w:rPr>
        <w:t>5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8F53D7">
        <w:rPr>
          <w:sz w:val="28"/>
          <w:szCs w:val="28"/>
        </w:rPr>
        <w:t>4018</w:t>
      </w:r>
      <w:r w:rsidR="007B33CC">
        <w:rPr>
          <w:sz w:val="28"/>
          <w:szCs w:val="28"/>
        </w:rPr>
        <w:t>-</w:t>
      </w:r>
      <w:r w:rsidR="00DF3EE4">
        <w:rPr>
          <w:sz w:val="28"/>
          <w:szCs w:val="28"/>
        </w:rPr>
        <w:t>3</w:t>
      </w:r>
      <w:r w:rsidR="008F53D7">
        <w:rPr>
          <w:sz w:val="28"/>
          <w:szCs w:val="28"/>
        </w:rPr>
        <w:t>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D2796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BD2796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BD2796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BD2796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A56B5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8F53D7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A46D4"/>
    <w:rsid w:val="00BB2806"/>
    <w:rsid w:val="00BB38D3"/>
    <w:rsid w:val="00BB7434"/>
    <w:rsid w:val="00BC0FBB"/>
    <w:rsid w:val="00BC4782"/>
    <w:rsid w:val="00BC533F"/>
    <w:rsid w:val="00BD2796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6D0A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3EE4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2473C-F082-4D10-B946-59E6D87E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